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9A84" w14:textId="3E0488BE" w:rsidR="00470846" w:rsidRDefault="00470846" w:rsidP="00470846">
      <w:pPr>
        <w:spacing w:after="318" w:line="259" w:lineRule="auto"/>
        <w:ind w:left="118" w:hanging="10"/>
        <w:jc w:val="center"/>
      </w:pPr>
      <w:r>
        <w:t>Town of Woodstock</w:t>
      </w:r>
      <w:r>
        <w:br/>
        <w:t>Inland Wetlands &amp; Watercourses Agency (IWWA)</w:t>
      </w:r>
      <w:r>
        <w:br/>
      </w:r>
      <w:r>
        <w:br/>
      </w:r>
      <w:r w:rsidRPr="00470846">
        <w:rPr>
          <w:b/>
          <w:bCs/>
          <w:sz w:val="24"/>
          <w:szCs w:val="28"/>
        </w:rPr>
        <w:t>FREQUENTLY ASKED QUESTIONS ABOUT WETLANDS</w:t>
      </w:r>
    </w:p>
    <w:p w14:paraId="1B86E733" w14:textId="7101ED82" w:rsidR="00DA46AC" w:rsidRDefault="00470846" w:rsidP="00470846">
      <w:pPr>
        <w:pStyle w:val="ListParagraph"/>
        <w:numPr>
          <w:ilvl w:val="0"/>
          <w:numId w:val="2"/>
        </w:numPr>
        <w:spacing w:after="318" w:line="259" w:lineRule="auto"/>
      </w:pPr>
      <w:r w:rsidRPr="00470846">
        <w:rPr>
          <w:b/>
          <w:bCs/>
        </w:rPr>
        <w:t>Why protect wetlands and watercourses</w:t>
      </w:r>
      <w:r>
        <w:t>?</w:t>
      </w:r>
    </w:p>
    <w:p w14:paraId="21606147" w14:textId="77777777" w:rsidR="00DA46AC" w:rsidRDefault="00470846">
      <w:pPr>
        <w:spacing w:after="27"/>
        <w:ind w:left="647" w:right="523"/>
      </w:pPr>
      <w:r>
        <w:t>I</w:t>
      </w:r>
      <w:r>
        <w:t xml:space="preserve">n 1972, Connecticut implemented the Inlands Wetlands and Watercourses Act in the </w:t>
      </w:r>
    </w:p>
    <w:p w14:paraId="09809ACB" w14:textId="77777777" w:rsidR="00DA46AC" w:rsidRDefault="00470846">
      <w:pPr>
        <w:spacing w:after="385"/>
        <w:ind w:left="647" w:right="594"/>
      </w:pPr>
      <w:r>
        <w:t xml:space="preserve">CT Statutes 22a-36 </w:t>
      </w:r>
      <w:proofErr w:type="gramStart"/>
      <w:r>
        <w:t>in order to</w:t>
      </w:r>
      <w:proofErr w:type="gramEnd"/>
      <w:r>
        <w:t xml:space="preserve"> legally acknowledge these elements as benefits to society as well as the natural world, by their local protection as natural resources. Wetlands and watercourses form an interrelated system which serves human needs by detaining storm water, reducing potential flood damage, and cleansing surface water of sediments and pollutants before it enters the groundwater that supplies our wells and reservoirs. Wetlands help maintain the base flow of watercourses, provide a water supply for wildlife, and fu</w:t>
      </w:r>
      <w:r>
        <w:t>rnish breeding and nesting sites for various species, many of which breed or nest only in wetlands.</w:t>
      </w:r>
    </w:p>
    <w:p w14:paraId="25BF017D" w14:textId="77777777" w:rsidR="00DA46AC" w:rsidRPr="00470846" w:rsidRDefault="00470846" w:rsidP="00470846">
      <w:pPr>
        <w:numPr>
          <w:ilvl w:val="0"/>
          <w:numId w:val="2"/>
        </w:numPr>
        <w:spacing w:after="202" w:line="259" w:lineRule="auto"/>
        <w:rPr>
          <w:b/>
          <w:bCs/>
        </w:rPr>
      </w:pPr>
      <w:r w:rsidRPr="00470846">
        <w:rPr>
          <w:b/>
          <w:bCs/>
        </w:rPr>
        <w:t>What is a wetland?</w:t>
      </w:r>
    </w:p>
    <w:p w14:paraId="2BA8E48A" w14:textId="77777777" w:rsidR="00DA46AC" w:rsidRDefault="00470846">
      <w:pPr>
        <w:spacing w:after="312"/>
        <w:ind w:left="647" w:right="523"/>
      </w:pPr>
      <w:r>
        <w:t>For most people, the perception of a wetland is limited to swamps and marshes. In fact, surface-dry woodlands, meadows, and even lawns can be identified as wetlands. In Connecticut, wetlands are identified by the features of the 18 to 24 inches of soil. A wetland is caused by groundwater coming to or near the ground surface or is caused by a restrictive layer of clay or ledge blocking water from percolating downward. Soils that are identified as poorly drained, very poorly drained, alluvial or floodplain ar</w:t>
      </w:r>
      <w:r>
        <w:t>e wetland soils.</w:t>
      </w:r>
    </w:p>
    <w:p w14:paraId="09544A98" w14:textId="77777777" w:rsidR="00DA46AC" w:rsidRPr="00470846" w:rsidRDefault="00470846" w:rsidP="00470846">
      <w:pPr>
        <w:numPr>
          <w:ilvl w:val="0"/>
          <w:numId w:val="2"/>
        </w:numPr>
        <w:spacing w:after="62" w:line="259" w:lineRule="auto"/>
        <w:rPr>
          <w:b/>
          <w:bCs/>
        </w:rPr>
      </w:pPr>
      <w:r w:rsidRPr="00470846">
        <w:rPr>
          <w:b/>
          <w:bCs/>
        </w:rPr>
        <w:t>How do I know if wetlands exist on my property?</w:t>
      </w:r>
    </w:p>
    <w:p w14:paraId="01BE4F23" w14:textId="77777777" w:rsidR="00DA46AC" w:rsidRDefault="00470846">
      <w:pPr>
        <w:spacing w:after="366"/>
        <w:ind w:left="647" w:right="523"/>
      </w:pPr>
      <w:r>
        <w:t>First, check general GIS mapping online from website links, on page two. Wetlands boundaries are specifically determined by a soils scientist’s observations on your property. The soil scientist hangs surveying tape or “flags” along the boundary of the wetlands or watercourse. A surveyor delineates the flag locations on a property survey. A list of soils scientists is kept in the Land Use office for convenience, not for recommendations. There may also be existing property records or copies on file from previ</w:t>
      </w:r>
      <w:r>
        <w:t xml:space="preserve">ous activities or </w:t>
      </w:r>
      <w:proofErr w:type="gramStart"/>
      <w:r>
        <w:t>permits,</w:t>
      </w:r>
      <w:proofErr w:type="gramEnd"/>
      <w:r>
        <w:t xml:space="preserve"> that may not definitively show wetlands on subdivisions or upland review areas (URA’s), pertaining to your proposed scope of work on this property.</w:t>
      </w:r>
    </w:p>
    <w:p w14:paraId="69BFE06C" w14:textId="7396D502" w:rsidR="00DA46AC" w:rsidRDefault="00470846" w:rsidP="00470846">
      <w:pPr>
        <w:numPr>
          <w:ilvl w:val="0"/>
          <w:numId w:val="2"/>
        </w:numPr>
        <w:spacing w:after="27" w:line="259" w:lineRule="auto"/>
        <w:ind w:left="502" w:right="523"/>
      </w:pPr>
      <w:r w:rsidRPr="00470846">
        <w:rPr>
          <w:b/>
          <w:bCs/>
        </w:rPr>
        <w:t>What constitutes a watercourse? If a stream dries up periodically, is it still regulated?</w:t>
      </w:r>
      <w:r>
        <w:rPr>
          <w:b/>
          <w:bCs/>
        </w:rPr>
        <w:br/>
      </w:r>
      <w:r w:rsidRPr="00470846">
        <w:rPr>
          <w:sz w:val="48"/>
        </w:rPr>
        <w:t xml:space="preserve"> </w:t>
      </w:r>
      <w:r>
        <w:t>Yes, streams which flow year-round or only for portions of the year are subject to regulation.</w:t>
      </w:r>
    </w:p>
    <w:p w14:paraId="01117D75" w14:textId="6BE2247C" w:rsidR="00DA46AC" w:rsidRDefault="00470846" w:rsidP="00470846">
      <w:pPr>
        <w:spacing w:after="244"/>
        <w:ind w:left="663" w:right="523" w:hanging="16"/>
      </w:pPr>
      <w:r>
        <w:t xml:space="preserve">Specifically, watercourses are defined as rivers, streams, brooks, waterways, lakes, ponds, marshes, swamps, bogs, and other bodies of water. A watercourse </w:t>
      </w:r>
      <w:proofErr w:type="gramStart"/>
      <w:r>
        <w:t>has to</w:t>
      </w:r>
      <w:proofErr w:type="gramEnd"/>
      <w:r>
        <w:t xml:space="preserve"> have ‘beds and banks,’ evidence of alluvial deposits, and/or hydrophilic</w:t>
      </w:r>
      <w:r>
        <w:t xml:space="preserve"> (water-loving) plants.  Flow must also be present longer than a storm event; this requirement keeps stormwater discharge points free from regulation.</w:t>
      </w:r>
    </w:p>
    <w:p w14:paraId="1706AC66" w14:textId="77777777" w:rsidR="00DA46AC" w:rsidRDefault="00470846">
      <w:pPr>
        <w:spacing w:after="247"/>
        <w:ind w:left="647" w:right="523"/>
      </w:pPr>
      <w:r>
        <w:t xml:space="preserve">Watercourses can be man-made or naturally occurring, and they can be perennial or intermittent, even if the intermittent flow is short in duration. Vernal pools, which can be described as big, springtime puddles, are often found in woodlands, </w:t>
      </w:r>
      <w:proofErr w:type="gramStart"/>
      <w:r>
        <w:t>and also</w:t>
      </w:r>
      <w:proofErr w:type="gramEnd"/>
      <w:r>
        <w:t xml:space="preserve"> qualify as watercourses. </w:t>
      </w:r>
    </w:p>
    <w:p w14:paraId="7610960D" w14:textId="77777777" w:rsidR="00DA46AC" w:rsidRDefault="00470846">
      <w:pPr>
        <w:spacing w:after="393"/>
        <w:ind w:left="647" w:right="523"/>
      </w:pPr>
      <w:r>
        <w:t>Reference Sec. 22a-38. Definitions #16</w:t>
      </w:r>
    </w:p>
    <w:p w14:paraId="7559639F" w14:textId="77777777" w:rsidR="00DA46AC" w:rsidRPr="00470846" w:rsidRDefault="00470846" w:rsidP="00470846">
      <w:pPr>
        <w:numPr>
          <w:ilvl w:val="0"/>
          <w:numId w:val="2"/>
        </w:numPr>
        <w:spacing w:after="141" w:line="259" w:lineRule="auto"/>
        <w:rPr>
          <w:b/>
          <w:bCs/>
        </w:rPr>
      </w:pPr>
      <w:r w:rsidRPr="00470846">
        <w:rPr>
          <w:b/>
          <w:bCs/>
        </w:rPr>
        <w:t>What purpose does the Town of Woodstock’s IWWA serve in implementing CT Statutes?</w:t>
      </w:r>
    </w:p>
    <w:p w14:paraId="014FCCC4" w14:textId="77777777" w:rsidR="00DA46AC" w:rsidRDefault="00470846">
      <w:pPr>
        <w:spacing w:after="1099"/>
        <w:ind w:left="713" w:right="847"/>
      </w:pPr>
      <w:r>
        <w:t>The state requires local municipalities to regulate activities that have effect or impact on wetlands and watercourses. The Town of Woodstock created IWWA regulations accordingly in compliance with the state mandate and updates them periodically. The Agency consists of five regular members and two alternates that are town residents who volunteer their time and efforts in these endeavors. This is done in conjunction with the Land Use office that provides technical and administrative guidance while offering s</w:t>
      </w:r>
      <w:r>
        <w:t>upportive assistance to the town residents.</w:t>
      </w:r>
    </w:p>
    <w:p w14:paraId="5E39110E" w14:textId="284BEAF8" w:rsidR="00DA46AC" w:rsidRDefault="00DA46AC">
      <w:pPr>
        <w:spacing w:after="128" w:line="259" w:lineRule="auto"/>
        <w:ind w:left="-38" w:hanging="10"/>
      </w:pPr>
    </w:p>
    <w:p w14:paraId="4E5024B8" w14:textId="0381E87D" w:rsidR="00DA46AC" w:rsidRPr="00470846" w:rsidRDefault="00470846" w:rsidP="00470846">
      <w:pPr>
        <w:numPr>
          <w:ilvl w:val="0"/>
          <w:numId w:val="2"/>
        </w:numPr>
        <w:spacing w:after="0" w:line="259" w:lineRule="auto"/>
        <w:rPr>
          <w:b/>
          <w:bCs/>
        </w:rPr>
      </w:pPr>
      <w:r w:rsidRPr="00470846">
        <w:rPr>
          <w:b/>
          <w:bCs/>
        </w:rPr>
        <w:t>What are examples of a regulated activity?</w:t>
      </w:r>
    </w:p>
    <w:p w14:paraId="739D907D" w14:textId="17E06919" w:rsidR="00DA46AC" w:rsidRDefault="00470846">
      <w:pPr>
        <w:spacing w:after="155"/>
        <w:ind w:left="905" w:right="1631"/>
      </w:pPr>
      <w:r>
        <w:t xml:space="preserve">a - Construction,  </w:t>
      </w:r>
      <w:r>
        <w:br/>
      </w:r>
      <w:r>
        <w:t xml:space="preserve">b - Deposition of material (soil, plants, yard debris, etc.), </w:t>
      </w:r>
      <w:r>
        <w:br/>
      </w:r>
      <w:r>
        <w:t xml:space="preserve">c - Discharge of polluted </w:t>
      </w:r>
      <w:proofErr w:type="gramStart"/>
      <w:r>
        <w:t xml:space="preserve">stormwater,   </w:t>
      </w:r>
      <w:proofErr w:type="gramEnd"/>
      <w:r>
        <w:br/>
      </w:r>
      <w:r>
        <w:t xml:space="preserve">d - Otherwise altering the wetland, watercourse, </w:t>
      </w:r>
      <w:r>
        <w:t xml:space="preserve">and/or their adjacent upland review </w:t>
      </w:r>
      <w:proofErr w:type="gramStart"/>
      <w:r>
        <w:t xml:space="preserve">area,   </w:t>
      </w:r>
      <w:proofErr w:type="gramEnd"/>
      <w:r>
        <w:br/>
      </w:r>
      <w:r>
        <w:t xml:space="preserve">e - Placing of structures, </w:t>
      </w:r>
      <w:r>
        <w:br/>
      </w:r>
      <w:r>
        <w:t>f - Removal of material (excavation and clearing of vegetation)</w:t>
      </w:r>
    </w:p>
    <w:p w14:paraId="7EBD0FF4" w14:textId="1AE114B2" w:rsidR="00DA46AC" w:rsidRPr="00470846" w:rsidRDefault="00470846" w:rsidP="00470846">
      <w:pPr>
        <w:pStyle w:val="ListParagraph"/>
        <w:numPr>
          <w:ilvl w:val="0"/>
          <w:numId w:val="2"/>
        </w:numPr>
        <w:spacing w:after="0" w:line="259" w:lineRule="auto"/>
        <w:rPr>
          <w:b/>
          <w:bCs/>
        </w:rPr>
      </w:pPr>
      <w:r w:rsidRPr="00470846">
        <w:rPr>
          <w:b/>
          <w:bCs/>
        </w:rPr>
        <w:t xml:space="preserve">What are examples of </w:t>
      </w:r>
      <w:r w:rsidRPr="00470846">
        <w:rPr>
          <w:b/>
          <w:bCs/>
        </w:rPr>
        <w:t xml:space="preserve">a non-regulated activity?       </w:t>
      </w:r>
    </w:p>
    <w:p w14:paraId="361A1048" w14:textId="43F130F2" w:rsidR="00DA46AC" w:rsidRDefault="00470846" w:rsidP="00470846">
      <w:pPr>
        <w:spacing w:after="146"/>
        <w:ind w:left="720" w:right="523"/>
      </w:pPr>
      <w:r>
        <w:t>M</w:t>
      </w:r>
      <w:r>
        <w:t>aintenance and enjoyment of property or agricultural activities are two examples of as-</w:t>
      </w:r>
      <w:r>
        <w:t xml:space="preserve">of-right operations and uses permitted. Further information and detail </w:t>
      </w:r>
      <w:proofErr w:type="gramStart"/>
      <w:r>
        <w:t>is</w:t>
      </w:r>
      <w:proofErr w:type="gramEnd"/>
      <w:r>
        <w:t xml:space="preserve"> described and </w:t>
      </w:r>
      <w:r>
        <w:t xml:space="preserve">available on the Town’s IWWA page on their website in Section 4.1 - 4.4, of the IWWA </w:t>
      </w:r>
      <w:r>
        <w:t>regulations.  (Reference CT Statute 22a-40)</w:t>
      </w:r>
    </w:p>
    <w:p w14:paraId="20EF71C0" w14:textId="77777777" w:rsidR="00DA46AC" w:rsidRPr="00470846" w:rsidRDefault="00470846" w:rsidP="00470846">
      <w:pPr>
        <w:numPr>
          <w:ilvl w:val="0"/>
          <w:numId w:val="2"/>
        </w:numPr>
        <w:spacing w:after="43" w:line="259" w:lineRule="auto"/>
        <w:rPr>
          <w:b/>
          <w:bCs/>
        </w:rPr>
      </w:pPr>
      <w:r w:rsidRPr="00470846">
        <w:rPr>
          <w:b/>
          <w:bCs/>
        </w:rPr>
        <w:t>Why is there a regulated area “buffer” next to wetlands and watercourses?</w:t>
      </w:r>
    </w:p>
    <w:p w14:paraId="1CEB9331" w14:textId="16EF7DDF" w:rsidR="00DA46AC" w:rsidRDefault="00470846">
      <w:pPr>
        <w:ind w:left="1022" w:right="1563"/>
      </w:pPr>
      <w:r>
        <w:t xml:space="preserve">As the science of protecting wetlands and watercourses evolved, knowledge of adjacent activities impacting these resources became </w:t>
      </w:r>
      <w:proofErr w:type="gramStart"/>
      <w:r>
        <w:t>more clear</w:t>
      </w:r>
      <w:proofErr w:type="gramEnd"/>
      <w:r>
        <w:t xml:space="preserve">. Current language in the statutes and regulations provides the means and authority to regulate any activity that </w:t>
      </w:r>
      <w:proofErr w:type="gramStart"/>
      <w:r>
        <w:t>would relatively</w:t>
      </w:r>
      <w:proofErr w:type="gramEnd"/>
      <w:r>
        <w:t xml:space="preserve"> affect these natural resources.</w:t>
      </w:r>
      <w:r>
        <w:br/>
      </w:r>
    </w:p>
    <w:p w14:paraId="147A7A5F" w14:textId="77777777" w:rsidR="00DA46AC" w:rsidRDefault="00470846">
      <w:pPr>
        <w:spacing w:after="261"/>
        <w:ind w:left="1022" w:right="1225"/>
      </w:pPr>
      <w:r>
        <w:t xml:space="preserve">Distances of 100’ to 125’ of naturally vegetated land provide protections. This is called </w:t>
      </w:r>
      <w:proofErr w:type="gramStart"/>
      <w:r>
        <w:t>an</w:t>
      </w:r>
      <w:proofErr w:type="gramEnd"/>
      <w:r>
        <w:t xml:space="preserve"> Upland Review Area. While serving and protecting as a buffer, it is not always possible and must be considered per the situation of each property’s unique conditions. Technical solutions may assist in maintaining the resource’s value along with the types of proposed work in proximity to the wetland boundaries.</w:t>
      </w:r>
    </w:p>
    <w:p w14:paraId="39B55180" w14:textId="77777777" w:rsidR="00DA46AC" w:rsidRPr="00470846" w:rsidRDefault="00470846" w:rsidP="00470846">
      <w:pPr>
        <w:numPr>
          <w:ilvl w:val="0"/>
          <w:numId w:val="2"/>
        </w:numPr>
        <w:spacing w:after="61" w:line="259" w:lineRule="auto"/>
        <w:rPr>
          <w:b/>
          <w:bCs/>
        </w:rPr>
      </w:pPr>
      <w:r w:rsidRPr="00470846">
        <w:rPr>
          <w:b/>
          <w:bCs/>
        </w:rPr>
        <w:t>Are there ways to maintain and nurture the wetlands on my property?</w:t>
      </w:r>
    </w:p>
    <w:p w14:paraId="7C045DCF" w14:textId="7CBC9233" w:rsidR="00DA46AC" w:rsidRDefault="00470846">
      <w:pPr>
        <w:ind w:left="946" w:right="978"/>
      </w:pPr>
      <w:r>
        <w:t>Permaculture significantly enhances wetlands by restoring, creating and managing them with ecological design, boosting biodiversity, improving water quality and creating resilient habitats through techniques like planting native species, building earthworks (e.g., swales, ponds), and creating buffer zones.</w:t>
      </w:r>
      <w:r>
        <w:br/>
      </w:r>
    </w:p>
    <w:p w14:paraId="4E8FC4E3" w14:textId="6F6035E8" w:rsidR="00DA46AC" w:rsidRDefault="00470846">
      <w:pPr>
        <w:ind w:left="946" w:right="832"/>
      </w:pPr>
      <w:r>
        <w:t>Keep the use of fertilizers and pesticides to a minimum on any land that drains into them. Discourage geese where possible and</w:t>
      </w:r>
      <w:r>
        <w:t xml:space="preserve"> pick up pet waste as these are sources of bacteria and nitrogen. Creating a good buffer of meadow grasses, shrubs native species plantings will benefit as pollutant filters.</w:t>
      </w:r>
    </w:p>
    <w:p w14:paraId="7C810783" w14:textId="6941A596" w:rsidR="00DA46AC" w:rsidRDefault="00470846">
      <w:pPr>
        <w:spacing w:after="159"/>
        <w:ind w:left="946" w:right="941"/>
      </w:pPr>
      <w:r>
        <w:t>Manage vegetation by cutting invasive non-native species such as bittersweet, is good for the trees. Selective removal of these non-native species and replacement with native plants is good stewardship. If removal is significant, it</w:t>
      </w:r>
      <w:r>
        <w:t>’s good to check in with the Wetlands Agent.</w:t>
      </w:r>
    </w:p>
    <w:p w14:paraId="7D0A1EA1" w14:textId="77777777" w:rsidR="00DA46AC" w:rsidRPr="00470846" w:rsidRDefault="00470846" w:rsidP="00470846">
      <w:pPr>
        <w:numPr>
          <w:ilvl w:val="0"/>
          <w:numId w:val="2"/>
        </w:numPr>
        <w:spacing w:after="0" w:line="259" w:lineRule="auto"/>
        <w:rPr>
          <w:b/>
          <w:bCs/>
        </w:rPr>
      </w:pPr>
      <w:r w:rsidRPr="00470846">
        <w:rPr>
          <w:b/>
          <w:bCs/>
        </w:rPr>
        <w:t>What can be done with seasonally wet areas?</w:t>
      </w:r>
    </w:p>
    <w:p w14:paraId="0845F204" w14:textId="77777777" w:rsidR="00DA46AC" w:rsidRDefault="00470846">
      <w:pPr>
        <w:spacing w:after="193"/>
        <w:ind w:left="924" w:right="1403"/>
      </w:pPr>
      <w:r>
        <w:t>As wetlands are defined by soil characteristics, their functional significance is defined by what appears above grade. Natural vegetation provides the best options for inducing natural vitality which yields aesthetically pleasing landscapes. The use of native species will enhance appeal, less maintenance and sustainability. Also known as riparian buffers, these vegetated areas play a key role in increasing water quality and are good practice for reducing pollution.</w:t>
      </w:r>
    </w:p>
    <w:p w14:paraId="7E6229BD" w14:textId="77777777" w:rsidR="00DA46AC" w:rsidRPr="00470846" w:rsidRDefault="00470846" w:rsidP="00470846">
      <w:pPr>
        <w:numPr>
          <w:ilvl w:val="0"/>
          <w:numId w:val="2"/>
        </w:numPr>
        <w:spacing w:after="35" w:line="259" w:lineRule="auto"/>
        <w:rPr>
          <w:b/>
          <w:bCs/>
        </w:rPr>
      </w:pPr>
      <w:r w:rsidRPr="00470846">
        <w:rPr>
          <w:b/>
          <w:bCs/>
        </w:rPr>
        <w:t>What is required for building or repairing a lakeside wall?</w:t>
      </w:r>
    </w:p>
    <w:p w14:paraId="16E830E6" w14:textId="77777777" w:rsidR="00DA46AC" w:rsidRDefault="00470846">
      <w:pPr>
        <w:spacing w:after="112"/>
        <w:ind w:left="893" w:right="696"/>
      </w:pPr>
      <w:r>
        <w:t xml:space="preserve">The relevant Lake District must grant approval prior to any IWWA application as precedent to an IWWA review. Each </w:t>
      </w:r>
      <w:proofErr w:type="gramStart"/>
      <w:r>
        <w:t>site condition</w:t>
      </w:r>
      <w:proofErr w:type="gramEnd"/>
      <w:r>
        <w:t xml:space="preserve"> is unique and requires careful consideration accordingly. The first consideration; if it’s a retaining wall, structural integrity needs to be part of the review process which requires a licensed professional. If it is only a self-supporting wall, a licensed contractor may suffice.</w:t>
      </w:r>
    </w:p>
    <w:p w14:paraId="13C6DFA1" w14:textId="77777777" w:rsidR="00470846" w:rsidRDefault="00470846">
      <w:pPr>
        <w:spacing w:after="317" w:line="232" w:lineRule="auto"/>
        <w:ind w:left="166"/>
        <w:rPr>
          <w:sz w:val="16"/>
        </w:rPr>
      </w:pPr>
    </w:p>
    <w:p w14:paraId="4555ABD7" w14:textId="5900EE68" w:rsidR="00DA46AC" w:rsidRDefault="00470846">
      <w:pPr>
        <w:spacing w:after="317" w:line="232" w:lineRule="auto"/>
        <w:ind w:left="166"/>
      </w:pPr>
      <w:r>
        <w:rPr>
          <w:sz w:val="16"/>
        </w:rPr>
        <w:t xml:space="preserve">Note: The questions/topics listed above are intended to assist with general guidance to the public only and should not be construed as final interpretations or determinations for specific circumstances and conditions. </w:t>
      </w:r>
    </w:p>
    <w:p w14:paraId="02AE3837" w14:textId="77777777" w:rsidR="00DA46AC" w:rsidRDefault="00470846">
      <w:pPr>
        <w:spacing w:after="0" w:line="259" w:lineRule="auto"/>
        <w:ind w:left="0"/>
        <w:jc w:val="right"/>
      </w:pPr>
      <w:r>
        <w:rPr>
          <w:sz w:val="24"/>
        </w:rPr>
        <w:t>2</w:t>
      </w:r>
    </w:p>
    <w:sectPr w:rsidR="00DA46AC">
      <w:pgSz w:w="12240" w:h="15840"/>
      <w:pgMar w:top="770" w:right="575" w:bottom="410" w:left="7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60D99"/>
    <w:multiLevelType w:val="hybridMultilevel"/>
    <w:tmpl w:val="027C99A0"/>
    <w:lvl w:ilvl="0" w:tplc="0936B8D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15:restartNumberingAfterBreak="0">
    <w:nsid w:val="60D80D75"/>
    <w:multiLevelType w:val="hybridMultilevel"/>
    <w:tmpl w:val="43488C28"/>
    <w:lvl w:ilvl="0" w:tplc="7C369B32">
      <w:start w:val="1"/>
      <w:numFmt w:val="decimal"/>
      <w:lvlText w:val="%1"/>
      <w:lvlJc w:val="left"/>
      <w:pPr>
        <w:ind w:left="550"/>
      </w:pPr>
      <w:rPr>
        <w:rFonts w:ascii="Times New Roman" w:eastAsia="Times New Roman" w:hAnsi="Times New Roman" w:cs="Times New Roman"/>
        <w:b w:val="0"/>
        <w:i w:val="0"/>
        <w:strike w:val="0"/>
        <w:dstrike w:val="0"/>
        <w:color w:val="373435"/>
        <w:sz w:val="24"/>
        <w:szCs w:val="24"/>
        <w:u w:val="none" w:color="000000"/>
        <w:bdr w:val="none" w:sz="0" w:space="0" w:color="auto"/>
        <w:shd w:val="clear" w:color="auto" w:fill="auto"/>
        <w:vertAlign w:val="baseline"/>
      </w:rPr>
    </w:lvl>
    <w:lvl w:ilvl="1" w:tplc="37C4DC40">
      <w:start w:val="1"/>
      <w:numFmt w:val="lowerLetter"/>
      <w:lvlText w:val="%2"/>
      <w:lvlJc w:val="left"/>
      <w:pPr>
        <w:ind w:left="1141"/>
      </w:pPr>
      <w:rPr>
        <w:rFonts w:ascii="Times New Roman" w:eastAsia="Times New Roman" w:hAnsi="Times New Roman" w:cs="Times New Roman"/>
        <w:b w:val="0"/>
        <w:i w:val="0"/>
        <w:strike w:val="0"/>
        <w:dstrike w:val="0"/>
        <w:color w:val="373435"/>
        <w:sz w:val="24"/>
        <w:szCs w:val="24"/>
        <w:u w:val="none" w:color="000000"/>
        <w:bdr w:val="none" w:sz="0" w:space="0" w:color="auto"/>
        <w:shd w:val="clear" w:color="auto" w:fill="auto"/>
        <w:vertAlign w:val="baseline"/>
      </w:rPr>
    </w:lvl>
    <w:lvl w:ilvl="2" w:tplc="29CE24B8">
      <w:start w:val="1"/>
      <w:numFmt w:val="lowerRoman"/>
      <w:lvlText w:val="%3"/>
      <w:lvlJc w:val="left"/>
      <w:pPr>
        <w:ind w:left="1861"/>
      </w:pPr>
      <w:rPr>
        <w:rFonts w:ascii="Times New Roman" w:eastAsia="Times New Roman" w:hAnsi="Times New Roman" w:cs="Times New Roman"/>
        <w:b w:val="0"/>
        <w:i w:val="0"/>
        <w:strike w:val="0"/>
        <w:dstrike w:val="0"/>
        <w:color w:val="373435"/>
        <w:sz w:val="24"/>
        <w:szCs w:val="24"/>
        <w:u w:val="none" w:color="000000"/>
        <w:bdr w:val="none" w:sz="0" w:space="0" w:color="auto"/>
        <w:shd w:val="clear" w:color="auto" w:fill="auto"/>
        <w:vertAlign w:val="baseline"/>
      </w:rPr>
    </w:lvl>
    <w:lvl w:ilvl="3" w:tplc="10AA9E78">
      <w:start w:val="1"/>
      <w:numFmt w:val="decimal"/>
      <w:lvlText w:val="%4"/>
      <w:lvlJc w:val="left"/>
      <w:pPr>
        <w:ind w:left="2581"/>
      </w:pPr>
      <w:rPr>
        <w:rFonts w:ascii="Times New Roman" w:eastAsia="Times New Roman" w:hAnsi="Times New Roman" w:cs="Times New Roman"/>
        <w:b w:val="0"/>
        <w:i w:val="0"/>
        <w:strike w:val="0"/>
        <w:dstrike w:val="0"/>
        <w:color w:val="373435"/>
        <w:sz w:val="24"/>
        <w:szCs w:val="24"/>
        <w:u w:val="none" w:color="000000"/>
        <w:bdr w:val="none" w:sz="0" w:space="0" w:color="auto"/>
        <w:shd w:val="clear" w:color="auto" w:fill="auto"/>
        <w:vertAlign w:val="baseline"/>
      </w:rPr>
    </w:lvl>
    <w:lvl w:ilvl="4" w:tplc="E15AF684">
      <w:start w:val="1"/>
      <w:numFmt w:val="lowerLetter"/>
      <w:lvlText w:val="%5"/>
      <w:lvlJc w:val="left"/>
      <w:pPr>
        <w:ind w:left="3301"/>
      </w:pPr>
      <w:rPr>
        <w:rFonts w:ascii="Times New Roman" w:eastAsia="Times New Roman" w:hAnsi="Times New Roman" w:cs="Times New Roman"/>
        <w:b w:val="0"/>
        <w:i w:val="0"/>
        <w:strike w:val="0"/>
        <w:dstrike w:val="0"/>
        <w:color w:val="373435"/>
        <w:sz w:val="24"/>
        <w:szCs w:val="24"/>
        <w:u w:val="none" w:color="000000"/>
        <w:bdr w:val="none" w:sz="0" w:space="0" w:color="auto"/>
        <w:shd w:val="clear" w:color="auto" w:fill="auto"/>
        <w:vertAlign w:val="baseline"/>
      </w:rPr>
    </w:lvl>
    <w:lvl w:ilvl="5" w:tplc="E4181518">
      <w:start w:val="1"/>
      <w:numFmt w:val="lowerRoman"/>
      <w:lvlText w:val="%6"/>
      <w:lvlJc w:val="left"/>
      <w:pPr>
        <w:ind w:left="4021"/>
      </w:pPr>
      <w:rPr>
        <w:rFonts w:ascii="Times New Roman" w:eastAsia="Times New Roman" w:hAnsi="Times New Roman" w:cs="Times New Roman"/>
        <w:b w:val="0"/>
        <w:i w:val="0"/>
        <w:strike w:val="0"/>
        <w:dstrike w:val="0"/>
        <w:color w:val="373435"/>
        <w:sz w:val="24"/>
        <w:szCs w:val="24"/>
        <w:u w:val="none" w:color="000000"/>
        <w:bdr w:val="none" w:sz="0" w:space="0" w:color="auto"/>
        <w:shd w:val="clear" w:color="auto" w:fill="auto"/>
        <w:vertAlign w:val="baseline"/>
      </w:rPr>
    </w:lvl>
    <w:lvl w:ilvl="6" w:tplc="AC1E872A">
      <w:start w:val="1"/>
      <w:numFmt w:val="decimal"/>
      <w:lvlText w:val="%7"/>
      <w:lvlJc w:val="left"/>
      <w:pPr>
        <w:ind w:left="4741"/>
      </w:pPr>
      <w:rPr>
        <w:rFonts w:ascii="Times New Roman" w:eastAsia="Times New Roman" w:hAnsi="Times New Roman" w:cs="Times New Roman"/>
        <w:b w:val="0"/>
        <w:i w:val="0"/>
        <w:strike w:val="0"/>
        <w:dstrike w:val="0"/>
        <w:color w:val="373435"/>
        <w:sz w:val="24"/>
        <w:szCs w:val="24"/>
        <w:u w:val="none" w:color="000000"/>
        <w:bdr w:val="none" w:sz="0" w:space="0" w:color="auto"/>
        <w:shd w:val="clear" w:color="auto" w:fill="auto"/>
        <w:vertAlign w:val="baseline"/>
      </w:rPr>
    </w:lvl>
    <w:lvl w:ilvl="7" w:tplc="D4AC55A4">
      <w:start w:val="1"/>
      <w:numFmt w:val="lowerLetter"/>
      <w:lvlText w:val="%8"/>
      <w:lvlJc w:val="left"/>
      <w:pPr>
        <w:ind w:left="5461"/>
      </w:pPr>
      <w:rPr>
        <w:rFonts w:ascii="Times New Roman" w:eastAsia="Times New Roman" w:hAnsi="Times New Roman" w:cs="Times New Roman"/>
        <w:b w:val="0"/>
        <w:i w:val="0"/>
        <w:strike w:val="0"/>
        <w:dstrike w:val="0"/>
        <w:color w:val="373435"/>
        <w:sz w:val="24"/>
        <w:szCs w:val="24"/>
        <w:u w:val="none" w:color="000000"/>
        <w:bdr w:val="none" w:sz="0" w:space="0" w:color="auto"/>
        <w:shd w:val="clear" w:color="auto" w:fill="auto"/>
        <w:vertAlign w:val="baseline"/>
      </w:rPr>
    </w:lvl>
    <w:lvl w:ilvl="8" w:tplc="01E4ED1A">
      <w:start w:val="1"/>
      <w:numFmt w:val="lowerRoman"/>
      <w:lvlText w:val="%9"/>
      <w:lvlJc w:val="left"/>
      <w:pPr>
        <w:ind w:left="6181"/>
      </w:pPr>
      <w:rPr>
        <w:rFonts w:ascii="Times New Roman" w:eastAsia="Times New Roman" w:hAnsi="Times New Roman" w:cs="Times New Roman"/>
        <w:b w:val="0"/>
        <w:i w:val="0"/>
        <w:strike w:val="0"/>
        <w:dstrike w:val="0"/>
        <w:color w:val="373435"/>
        <w:sz w:val="24"/>
        <w:szCs w:val="24"/>
        <w:u w:val="none" w:color="000000"/>
        <w:bdr w:val="none" w:sz="0" w:space="0" w:color="auto"/>
        <w:shd w:val="clear" w:color="auto" w:fill="auto"/>
        <w:vertAlign w:val="baseline"/>
      </w:rPr>
    </w:lvl>
  </w:abstractNum>
  <w:num w:numId="1" w16cid:durableId="139276585">
    <w:abstractNumId w:val="1"/>
  </w:num>
  <w:num w:numId="2" w16cid:durableId="205365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6AC"/>
    <w:rsid w:val="000D1252"/>
    <w:rsid w:val="00470846"/>
    <w:rsid w:val="00707469"/>
    <w:rsid w:val="00CA016A"/>
    <w:rsid w:val="00DA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953B"/>
  <w15:docId w15:val="{8653497D-D95B-4441-B3EE-2431F80B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0" w:lineRule="auto"/>
      <w:ind w:left="650"/>
    </w:pPr>
    <w:rPr>
      <w:rFonts w:ascii="Times New Roman" w:eastAsia="Times New Roman" w:hAnsi="Times New Roman" w:cs="Times New Roman"/>
      <w:color w:val="37343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1093</Words>
  <Characters>6234</Characters>
  <Application>Microsoft Office Word</Application>
  <DocSecurity>4</DocSecurity>
  <Lines>51</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26_0204 IWWA.cdr</dc:title>
  <dc:subject/>
  <dc:creator>~ sdp</dc:creator>
  <cp:keywords/>
  <cp:lastModifiedBy>Land Use</cp:lastModifiedBy>
  <cp:revision>2</cp:revision>
  <dcterms:created xsi:type="dcterms:W3CDTF">2026-02-26T14:29:00Z</dcterms:created>
  <dcterms:modified xsi:type="dcterms:W3CDTF">2026-02-26T14:29:00Z</dcterms:modified>
</cp:coreProperties>
</file>